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B13E4" w14:textId="77777777" w:rsidR="00CA0F22" w:rsidRDefault="00CA0F22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92D6D30" w14:textId="77777777" w:rsidR="00CA0F22" w:rsidRDefault="00CA0F22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370BBB2" w14:textId="1EC2AA33" w:rsidR="00E23546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</w:p>
    <w:p w14:paraId="06DD7881" w14:textId="77777777" w:rsidR="00E23546" w:rsidRPr="008F62A5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F62A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14:paraId="2DC91921" w14:textId="77777777" w:rsidR="00CA0F22" w:rsidRDefault="00CA0F22" w:rsidP="00CA0F22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16D5DE82" w14:textId="77777777" w:rsidR="00CA0F22" w:rsidRPr="00860A5B" w:rsidRDefault="00CA0F22" w:rsidP="00CA0F22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24B597CA" w14:textId="2EBE3747" w:rsidR="00E23546" w:rsidRPr="009B3A0E" w:rsidRDefault="00CA0F22" w:rsidP="00CA0F22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>.</w:t>
      </w:r>
    </w:p>
    <w:p w14:paraId="658CD74E" w14:textId="77777777" w:rsidR="00E23546" w:rsidRPr="009B3A0E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color w:val="002060"/>
          <w:lang w:eastAsia="pl-PL"/>
        </w:rPr>
      </w:pPr>
    </w:p>
    <w:p w14:paraId="4DDA31D9" w14:textId="6E162FF8" w:rsidR="008F62A5" w:rsidRDefault="00825F79" w:rsidP="008F62A5">
      <w:pPr>
        <w:pStyle w:val="Akapitzlist"/>
        <w:spacing w:after="0" w:line="240" w:lineRule="auto"/>
        <w:ind w:left="0"/>
        <w:contextualSpacing w:val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F62A5"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  <w:t xml:space="preserve"> </w:t>
      </w:r>
      <w:bookmarkStart w:id="0" w:name="_Toc492541675"/>
      <w:r w:rsidRPr="008F62A5">
        <w:rPr>
          <w:rFonts w:ascii="Times New Roman" w:hAnsi="Times New Roman" w:cs="Times New Roman"/>
          <w:b/>
          <w:sz w:val="28"/>
          <w:szCs w:val="28"/>
        </w:rPr>
        <w:t>P</w:t>
      </w:r>
      <w:r w:rsidR="008F62A5" w:rsidRPr="008F62A5">
        <w:rPr>
          <w:rFonts w:ascii="Times New Roman" w:hAnsi="Times New Roman" w:cs="Times New Roman"/>
          <w:b/>
          <w:sz w:val="28"/>
          <w:szCs w:val="28"/>
        </w:rPr>
        <w:t>rawo</w:t>
      </w:r>
      <w:r w:rsidRPr="008F62A5">
        <w:rPr>
          <w:rFonts w:ascii="Times New Roman" w:hAnsi="Times New Roman" w:cs="Times New Roman"/>
          <w:b/>
          <w:sz w:val="28"/>
          <w:szCs w:val="28"/>
        </w:rPr>
        <w:t xml:space="preserve"> – P</w:t>
      </w:r>
      <w:r w:rsidR="008F62A5" w:rsidRPr="008F62A5">
        <w:rPr>
          <w:rFonts w:ascii="Times New Roman" w:hAnsi="Times New Roman" w:cs="Times New Roman"/>
          <w:b/>
          <w:sz w:val="28"/>
          <w:szCs w:val="28"/>
        </w:rPr>
        <w:t>rawo cywilne</w:t>
      </w:r>
      <w:r w:rsidRPr="008F62A5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E64AF">
        <w:rPr>
          <w:rFonts w:ascii="Times New Roman" w:hAnsi="Times New Roman" w:cs="Times New Roman"/>
          <w:b/>
          <w:sz w:val="28"/>
          <w:szCs w:val="28"/>
        </w:rPr>
        <w:t>p</w:t>
      </w:r>
      <w:r w:rsidR="008F62A5" w:rsidRPr="008F62A5">
        <w:rPr>
          <w:rFonts w:ascii="Times New Roman" w:hAnsi="Times New Roman" w:cs="Times New Roman"/>
          <w:b/>
          <w:sz w:val="28"/>
          <w:szCs w:val="28"/>
        </w:rPr>
        <w:t>rawo pracy i ubezpieczeń społecznych</w:t>
      </w:r>
      <w:r w:rsidRPr="008F62A5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E64AF">
        <w:rPr>
          <w:rFonts w:ascii="Times New Roman" w:hAnsi="Times New Roman" w:cs="Times New Roman"/>
          <w:b/>
          <w:sz w:val="28"/>
          <w:szCs w:val="28"/>
        </w:rPr>
        <w:t>p</w:t>
      </w:r>
      <w:r w:rsidR="008F62A5" w:rsidRPr="008F62A5">
        <w:rPr>
          <w:rFonts w:ascii="Times New Roman" w:hAnsi="Times New Roman" w:cs="Times New Roman"/>
          <w:b/>
          <w:sz w:val="28"/>
          <w:szCs w:val="28"/>
        </w:rPr>
        <w:t>rawo spółek</w:t>
      </w:r>
      <w:r w:rsidRPr="008F62A5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E64AF">
        <w:rPr>
          <w:rFonts w:ascii="Times New Roman" w:hAnsi="Times New Roman" w:cs="Times New Roman"/>
          <w:b/>
          <w:sz w:val="28"/>
          <w:szCs w:val="28"/>
        </w:rPr>
        <w:t>p</w:t>
      </w:r>
      <w:r w:rsidR="008F62A5" w:rsidRPr="008F62A5">
        <w:rPr>
          <w:rFonts w:ascii="Times New Roman" w:hAnsi="Times New Roman" w:cs="Times New Roman"/>
          <w:b/>
          <w:sz w:val="28"/>
          <w:szCs w:val="28"/>
        </w:rPr>
        <w:t>rawo upadłościowe</w:t>
      </w:r>
      <w:r w:rsidRPr="008F62A5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672CAAA5" w14:textId="42F9F3D9" w:rsidR="00825F79" w:rsidRPr="008F62A5" w:rsidRDefault="00BE64AF" w:rsidP="008F62A5">
      <w:pPr>
        <w:pStyle w:val="Akapitzlist"/>
        <w:spacing w:after="0" w:line="240" w:lineRule="auto"/>
        <w:ind w:left="0"/>
        <w:contextualSpacing w:val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</w:t>
      </w:r>
      <w:r w:rsidR="008F62A5" w:rsidRPr="008F62A5">
        <w:rPr>
          <w:rFonts w:ascii="Times New Roman" w:hAnsi="Times New Roman" w:cs="Times New Roman"/>
          <w:b/>
          <w:sz w:val="28"/>
          <w:szCs w:val="28"/>
        </w:rPr>
        <w:t>rawo restrukturyzacyjne</w:t>
      </w:r>
      <w:r w:rsidR="00825F79" w:rsidRPr="008F62A5"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</w:rPr>
        <w:t>p</w:t>
      </w:r>
      <w:r w:rsidR="008F62A5" w:rsidRPr="008F62A5">
        <w:rPr>
          <w:rFonts w:ascii="Times New Roman" w:hAnsi="Times New Roman" w:cs="Times New Roman"/>
          <w:b/>
          <w:sz w:val="28"/>
          <w:szCs w:val="28"/>
        </w:rPr>
        <w:t>rawo regulujące działalność gospodarczą</w:t>
      </w:r>
      <w:bookmarkEnd w:id="0"/>
    </w:p>
    <w:p w14:paraId="379B5794" w14:textId="77777777" w:rsidR="00E23546" w:rsidRDefault="00825F79" w:rsidP="00825F79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8327FE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 xml:space="preserve"> </w:t>
      </w:r>
      <w:r w:rsidR="00E23546" w:rsidRPr="008327FE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55FAB678" w14:textId="77777777" w:rsidR="00EC145D" w:rsidRPr="008327FE" w:rsidRDefault="00EC145D" w:rsidP="00825F79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19"/>
        <w:tblW w:w="1488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77"/>
        <w:gridCol w:w="3594"/>
        <w:gridCol w:w="3828"/>
        <w:gridCol w:w="3685"/>
      </w:tblGrid>
      <w:tr w:rsidR="00E23546" w:rsidRPr="008327FE" w14:paraId="4AAF84EA" w14:textId="77777777" w:rsidTr="008F62A5">
        <w:trPr>
          <w:trHeight w:val="420"/>
          <w:tblHeader/>
        </w:trPr>
        <w:tc>
          <w:tcPr>
            <w:tcW w:w="3777" w:type="dxa"/>
            <w:vMerge w:val="restart"/>
            <w:shd w:val="clear" w:color="auto" w:fill="D4A7B0"/>
            <w:vAlign w:val="center"/>
          </w:tcPr>
          <w:p w14:paraId="5D7BA839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6BF17C47" w14:textId="77777777" w:rsidR="00E23546" w:rsidRPr="008327FE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Tematy znajdujące odzwierciedlenie w programach zdanego przedmiotu </w:t>
            </w:r>
          </w:p>
          <w:p w14:paraId="2A39AD60" w14:textId="77777777" w:rsidR="00E23546" w:rsidRPr="008327FE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wiedzy </w:t>
            </w:r>
          </w:p>
          <w:p w14:paraId="01BCFFD7" w14:textId="77777777" w:rsidR="00E23546" w:rsidRPr="008327FE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8327FE" w14:paraId="2DA4C283" w14:textId="77777777" w:rsidTr="008F62A5">
        <w:trPr>
          <w:trHeight w:val="668"/>
          <w:tblHeader/>
        </w:trPr>
        <w:tc>
          <w:tcPr>
            <w:tcW w:w="3777" w:type="dxa"/>
            <w:vMerge/>
            <w:shd w:val="clear" w:color="auto" w:fill="D4A7B0"/>
            <w:vAlign w:val="center"/>
          </w:tcPr>
          <w:p w14:paraId="4A8AEC7C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14:paraId="4E9F3BF8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DCC7AA6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388A1F2D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14:paraId="25DAD844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57A77727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 w:rsidRPr="008327FE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2"/>
            </w:r>
          </w:p>
          <w:p w14:paraId="4E92F3D3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14:paraId="76A0CBA0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1B0C17F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4FBEF17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Nazwa 2 przedmiotu </w:t>
            </w:r>
          </w:p>
          <w:p w14:paraId="101029EA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5724A057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33281B7F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4B3B493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1D233249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Nazwa 3 przedmiotu </w:t>
            </w:r>
          </w:p>
          <w:p w14:paraId="6A4CEDEA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4500A38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8327FE" w14:paraId="04648592" w14:textId="77777777" w:rsidTr="008F62A5">
        <w:trPr>
          <w:trHeight w:val="280"/>
          <w:tblHeader/>
        </w:trPr>
        <w:tc>
          <w:tcPr>
            <w:tcW w:w="3777" w:type="dxa"/>
            <w:shd w:val="clear" w:color="auto" w:fill="D4A7B0"/>
            <w:vAlign w:val="center"/>
          </w:tcPr>
          <w:p w14:paraId="24C6EFF6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14:paraId="7EF07812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14:paraId="6A3B4438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7EB517F1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23546" w:rsidRPr="008327FE" w14:paraId="2E6DEDB5" w14:textId="77777777" w:rsidTr="008F62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3777" w:type="dxa"/>
          </w:tcPr>
          <w:p w14:paraId="1F64DFD3" w14:textId="77777777" w:rsidR="00AD724A" w:rsidRDefault="00AD724A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BEB5473" w14:textId="77777777" w:rsidR="00F764F5" w:rsidRPr="003743C0" w:rsidRDefault="00D071D4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F764F5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1.</w:t>
            </w:r>
            <w:r w:rsidR="00AD724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F764F5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Podstawy prawa</w:t>
            </w:r>
          </w:p>
          <w:p w14:paraId="0E13C5D4" w14:textId="77777777" w:rsidR="00F764F5" w:rsidRPr="003743C0" w:rsidRDefault="00D071D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3743C0">
              <w:rPr>
                <w:rFonts w:ascii="Times New Roman" w:hAnsi="Times New Roman" w:cs="Times New Roman"/>
                <w:sz w:val="18"/>
                <w:szCs w:val="18"/>
              </w:rPr>
              <w:t>1.1. Źródła prawa.</w:t>
            </w:r>
          </w:p>
          <w:p w14:paraId="279907D8" w14:textId="77777777" w:rsidR="00F764F5" w:rsidRPr="003743C0" w:rsidRDefault="00D071D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3743C0">
              <w:rPr>
                <w:rFonts w:ascii="Times New Roman" w:hAnsi="Times New Roman" w:cs="Times New Roman"/>
                <w:sz w:val="18"/>
                <w:szCs w:val="18"/>
              </w:rPr>
              <w:t xml:space="preserve">1.2. Systematyka prawa. </w:t>
            </w:r>
          </w:p>
          <w:p w14:paraId="34CEBB4B" w14:textId="77777777" w:rsidR="00F764F5" w:rsidRPr="003743C0" w:rsidRDefault="00D071D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3743C0">
              <w:rPr>
                <w:rFonts w:ascii="Times New Roman" w:hAnsi="Times New Roman" w:cs="Times New Roman"/>
                <w:sz w:val="18"/>
                <w:szCs w:val="18"/>
              </w:rPr>
              <w:t xml:space="preserve">1.3. Wykładnia prawa. </w:t>
            </w:r>
          </w:p>
          <w:p w14:paraId="79F3ED35" w14:textId="77777777" w:rsidR="00F764F5" w:rsidRPr="003743C0" w:rsidRDefault="00D071D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3743C0">
              <w:rPr>
                <w:rFonts w:ascii="Times New Roman" w:hAnsi="Times New Roman" w:cs="Times New Roman"/>
                <w:sz w:val="18"/>
                <w:szCs w:val="18"/>
              </w:rPr>
              <w:t>1.4. Obowiązywanie prawa – promulgacja, wejście w życie, stosowanie, reguły kolizyjne.</w:t>
            </w:r>
          </w:p>
          <w:p w14:paraId="1DDFF69A" w14:textId="77777777" w:rsidR="00F764F5" w:rsidRPr="003743C0" w:rsidRDefault="00D071D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3743C0">
              <w:rPr>
                <w:rFonts w:ascii="Times New Roman" w:hAnsi="Times New Roman" w:cs="Times New Roman"/>
                <w:sz w:val="18"/>
                <w:szCs w:val="18"/>
              </w:rPr>
              <w:t>1.5. Norma prawna a przepis prawa.</w:t>
            </w:r>
          </w:p>
          <w:p w14:paraId="34043E99" w14:textId="77777777" w:rsidR="00F764F5" w:rsidRDefault="00D071D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3743C0">
              <w:rPr>
                <w:rFonts w:ascii="Times New Roman" w:hAnsi="Times New Roman" w:cs="Times New Roman"/>
                <w:sz w:val="18"/>
                <w:szCs w:val="18"/>
              </w:rPr>
              <w:t>1.6. Pierwotne i wtórne prawo wspólnotowe.</w:t>
            </w:r>
          </w:p>
          <w:p w14:paraId="21E24674" w14:textId="77777777" w:rsidR="00F764F5" w:rsidRDefault="00F764F5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B5A5F0" w14:textId="77777777" w:rsidR="00AD724A" w:rsidRDefault="00AD724A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3F63A901" w14:textId="77777777" w:rsidR="00CA0F22" w:rsidRDefault="00CA0F22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F02D458" w14:textId="77777777" w:rsidR="00CA0F22" w:rsidRDefault="00CA0F22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53AB9AD7" w14:textId="77777777" w:rsidR="00AD724A" w:rsidRDefault="00AD724A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95FFBDA" w14:textId="77777777" w:rsidR="00F764F5" w:rsidRDefault="004F586A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3.</w:t>
            </w:r>
            <w:r w:rsidR="00F764F5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2.</w:t>
            </w:r>
            <w:r w:rsidR="00AD724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F764F5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Prawo cywilne</w:t>
            </w:r>
          </w:p>
          <w:p w14:paraId="724DC604" w14:textId="77777777" w:rsidR="00F764F5" w:rsidRPr="00D57E17" w:rsidRDefault="004F586A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2.1. Podmioty prawa cywilnego, przedstawicielstwo, mienie, czynności prawne, terminy, przedawnienie roszczeń.</w:t>
            </w:r>
          </w:p>
          <w:p w14:paraId="2CB26FFB" w14:textId="77777777" w:rsidR="00F764F5" w:rsidRPr="00D57E17" w:rsidRDefault="004F586A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2.2. Własność i inne prawa rzeczowe (własność, użytkowanie wieczyste, prawa rzeczowe ograniczone, posiadanie).</w:t>
            </w:r>
          </w:p>
          <w:p w14:paraId="547EB2A5" w14:textId="77777777" w:rsidR="00F764F5" w:rsidRPr="00D57E17" w:rsidRDefault="004F586A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>
              <w:rPr>
                <w:rFonts w:ascii="Times New Roman" w:hAnsi="Times New Roman" w:cs="Times New Roman"/>
                <w:sz w:val="18"/>
                <w:szCs w:val="18"/>
              </w:rPr>
              <w:t>2.3. Zobowiązania.</w:t>
            </w:r>
          </w:p>
          <w:p w14:paraId="1B984234" w14:textId="77777777" w:rsidR="00F764F5" w:rsidRDefault="004F586A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  <w:r w:rsidR="00F764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Naruszenia prawa.</w:t>
            </w:r>
          </w:p>
          <w:p w14:paraId="3B308BB3" w14:textId="77777777" w:rsidR="00F764F5" w:rsidRDefault="00F764F5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06C1E74" w14:textId="77777777" w:rsidR="00F764F5" w:rsidRDefault="005A4E24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F764F5"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Prawo pracy i ubezpieczeń społecznych</w:t>
            </w:r>
          </w:p>
          <w:p w14:paraId="5ED92C78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3.1. Podstawowe zasady prawa pracy.</w:t>
            </w:r>
          </w:p>
          <w:p w14:paraId="4C8BD9C0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3.2. Stosunek pracy.</w:t>
            </w:r>
          </w:p>
          <w:p w14:paraId="2C2D72A4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3.3.</w:t>
            </w:r>
            <w:r w:rsidR="00F764F5" w:rsidRPr="00D57E17">
              <w:rPr>
                <w:rFonts w:ascii="Times New Roman" w:hAnsi="Times New Roman" w:cs="Times New Roman"/>
              </w:rPr>
              <w:t xml:space="preserve"> 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Wynagrodzenie za pracę i inne świadczenia.</w:t>
            </w:r>
          </w:p>
          <w:p w14:paraId="6693D9E3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3.4.</w:t>
            </w:r>
            <w:r w:rsidR="00F764F5" w:rsidRPr="00D57E17">
              <w:rPr>
                <w:rFonts w:ascii="Times New Roman" w:hAnsi="Times New Roman" w:cs="Times New Roman"/>
              </w:rPr>
              <w:t xml:space="preserve"> 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Obowiązki pracodawcy i pracownika.</w:t>
            </w:r>
          </w:p>
          <w:p w14:paraId="511AD146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3.5. Odpowiedzialność materialna pracowników.</w:t>
            </w:r>
          </w:p>
          <w:p w14:paraId="0CDB5548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3.6.</w:t>
            </w:r>
            <w:r w:rsidR="00F764F5" w:rsidRPr="00D57E17">
              <w:rPr>
                <w:rFonts w:ascii="Times New Roman" w:hAnsi="Times New Roman" w:cs="Times New Roman"/>
              </w:rPr>
              <w:t xml:space="preserve"> 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Czas pracy.</w:t>
            </w:r>
          </w:p>
          <w:p w14:paraId="55635F61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3.7. Urlopy pracownicze.</w:t>
            </w:r>
          </w:p>
          <w:p w14:paraId="604EFD3A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3.8. Uprawnienia pracowników związane z rodzicielstwem.</w:t>
            </w:r>
          </w:p>
          <w:p w14:paraId="515596FA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3.9. Zatrudnianie młodocianych.</w:t>
            </w:r>
          </w:p>
          <w:p w14:paraId="5B8DC6CA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3.10. Bezpieczeństwo i higiena pracy.</w:t>
            </w:r>
          </w:p>
          <w:p w14:paraId="691028A5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3.11. Rozpatrywanie sporów o roszczenia ze stosunku pracy.</w:t>
            </w:r>
          </w:p>
          <w:p w14:paraId="2BF4260C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3.12. Odpowiedzialność za wykroczenia przeciwko prawom pracownika.</w:t>
            </w:r>
          </w:p>
          <w:p w14:paraId="5064679C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3.13.</w:t>
            </w:r>
            <w:r w:rsidR="00F764F5" w:rsidRPr="00D57E17">
              <w:rPr>
                <w:rFonts w:ascii="Times New Roman" w:hAnsi="Times New Roman" w:cs="Times New Roman"/>
              </w:rPr>
              <w:t xml:space="preserve"> 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Przedawnienie roszczeń w prawie pracy.</w:t>
            </w:r>
          </w:p>
          <w:p w14:paraId="36E7AFED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3.14. Zasady podlegania ubezpieczeniom społecznym.</w:t>
            </w:r>
          </w:p>
          <w:p w14:paraId="7154F248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3.15. Zasady ustalania składek na ubezpieczenia społeczne.</w:t>
            </w:r>
          </w:p>
          <w:p w14:paraId="62DFB688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3.16. Zgłoszenia do ubezpieczenia, prowadzenie kont i rejestrów oraz zasady rozliczania składek i zasiłków.</w:t>
            </w:r>
          </w:p>
          <w:p w14:paraId="3B6A5B58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3.17. Obowiązki ubezpieczonych.</w:t>
            </w:r>
          </w:p>
          <w:p w14:paraId="7A3F13EF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3.18. Zwrot nienależnie pobranych świadczeń oraz odsetki za opóźnienie w wypłacie świadczeń.</w:t>
            </w:r>
          </w:p>
          <w:p w14:paraId="60ECB747" w14:textId="77777777" w:rsidR="00F764F5" w:rsidRPr="00D57E17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3.19. Kontrola wykonywania zadań z zakresu ubezpieczeń społecznych.</w:t>
            </w:r>
          </w:p>
          <w:p w14:paraId="743FF795" w14:textId="77777777" w:rsidR="00F764F5" w:rsidRDefault="005A4E24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3.20. Naruszenia prawa.</w:t>
            </w:r>
          </w:p>
          <w:p w14:paraId="5509F255" w14:textId="77777777" w:rsidR="00F764F5" w:rsidRDefault="00F764F5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9A29399" w14:textId="77777777" w:rsidR="00F764F5" w:rsidRDefault="00A644C0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 Prawo spółek</w:t>
            </w:r>
          </w:p>
          <w:p w14:paraId="6D0543EC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4.1. Przepisy ogólne, spółki osobowe i kapitałowe.</w:t>
            </w:r>
          </w:p>
          <w:p w14:paraId="7E0BB1F0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4.2. Powstawanie spółek.</w:t>
            </w:r>
          </w:p>
          <w:p w14:paraId="21B6321C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4.3. Organy spółek. Prawa i obowiązki wspólników, akcjonariuszy.</w:t>
            </w:r>
          </w:p>
          <w:p w14:paraId="65AD21A1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4.4. Rozwiązanie i likwidacja spółek. </w:t>
            </w:r>
          </w:p>
          <w:p w14:paraId="3DF005F0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4.5. Łączenie, podział i przekształcanie spółek.</w:t>
            </w:r>
          </w:p>
          <w:p w14:paraId="3C20A9F8" w14:textId="77777777" w:rsidR="00F764F5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4.6. Naruszenia prawa.</w:t>
            </w:r>
          </w:p>
          <w:p w14:paraId="4C256A81" w14:textId="77777777" w:rsidR="00F764F5" w:rsidRDefault="00F764F5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273C7C8" w14:textId="77777777" w:rsidR="00F764F5" w:rsidRDefault="00A644C0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F764F5"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="00F764F5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Prawo upadłościowe i prawo restrukturyzacyjne</w:t>
            </w:r>
          </w:p>
          <w:p w14:paraId="3EC4133B" w14:textId="77777777" w:rsidR="00F764F5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5.1. Przepisy ogólne o postępowaniu upadł</w:t>
            </w:r>
            <w:r w:rsidR="00F764F5">
              <w:rPr>
                <w:rFonts w:ascii="Times New Roman" w:hAnsi="Times New Roman" w:cs="Times New Roman"/>
                <w:sz w:val="18"/>
                <w:szCs w:val="18"/>
              </w:rPr>
              <w:t>ościowym i restrukturyzacyjnym.</w:t>
            </w:r>
          </w:p>
          <w:p w14:paraId="03229488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5.2. Postępowanie w przedmiocie ogłoszenia upadłości.</w:t>
            </w:r>
          </w:p>
          <w:p w14:paraId="60A8CD91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5.3. Skutki ogłoszenia upadłości.</w:t>
            </w:r>
          </w:p>
          <w:p w14:paraId="46E31B4E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5.4. Postępowanie upadłościowe prowadzone po ogłoszeniu upadłości.</w:t>
            </w:r>
          </w:p>
          <w:p w14:paraId="119B51D6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5.5. Zgłoszenie i ustalenie wierzytelności.</w:t>
            </w:r>
          </w:p>
          <w:p w14:paraId="0E9F31B2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5.6. Układ w upadłości.</w:t>
            </w:r>
          </w:p>
          <w:p w14:paraId="0C4240ED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5.7. Likwidacja masy upadłości.</w:t>
            </w:r>
          </w:p>
          <w:p w14:paraId="64C16D9B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5.8. Podział funduszów masy upadłości i sum uzyskanych ze zbycia rzeczy i praw obciążonych rzeczowo.</w:t>
            </w:r>
          </w:p>
          <w:p w14:paraId="6B96C546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5.9. Zakończenie i umorzenie postępowania upadłościowego oraz ich skutki.</w:t>
            </w:r>
          </w:p>
          <w:p w14:paraId="121AF2D6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5.10. Przepisy </w:t>
            </w:r>
            <w:r w:rsidR="002A1963">
              <w:rPr>
                <w:rFonts w:ascii="Times New Roman" w:hAnsi="Times New Roman" w:cs="Times New Roman"/>
                <w:sz w:val="18"/>
                <w:szCs w:val="18"/>
              </w:rPr>
              <w:t>z zakresu międzynarodowego postę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powania upadłościowego.</w:t>
            </w:r>
          </w:p>
          <w:p w14:paraId="2EE2BE81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A1963">
              <w:rPr>
                <w:rFonts w:ascii="Times New Roman" w:hAnsi="Times New Roman" w:cs="Times New Roman"/>
                <w:sz w:val="18"/>
                <w:szCs w:val="18"/>
              </w:rPr>
              <w:t>5.11. Odrębne postę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powania upadłościowe.</w:t>
            </w:r>
          </w:p>
          <w:p w14:paraId="4BB32EA2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5.12</w:t>
            </w:r>
            <w:r w:rsidR="003F777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Prze</w:t>
            </w:r>
            <w:r w:rsidR="002A1963">
              <w:rPr>
                <w:rFonts w:ascii="Times New Roman" w:hAnsi="Times New Roman" w:cs="Times New Roman"/>
                <w:sz w:val="18"/>
                <w:szCs w:val="18"/>
              </w:rPr>
              <w:t>pisy ogólne i szczególne o postę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powaniach restrukturyzacyjnych i ich skutkach.</w:t>
            </w:r>
          </w:p>
          <w:p w14:paraId="3410D98A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5.13. Przepisy szczególne o postępowaniach restrukturyzacyjnych i ich skutkach.</w:t>
            </w:r>
          </w:p>
          <w:p w14:paraId="05765110" w14:textId="77777777" w:rsidR="00F764F5" w:rsidRPr="00D57E17" w:rsidRDefault="00A644C0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5.14. Przepisy z zakresu międzynarodowego postępowania restrukturyzacyjnego.</w:t>
            </w:r>
          </w:p>
          <w:p w14:paraId="271082B2" w14:textId="77777777" w:rsidR="00F764F5" w:rsidRPr="00D57E17" w:rsidRDefault="003F777E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5.15. Odrębne postępowania restrukturyzacyjne.</w:t>
            </w:r>
          </w:p>
          <w:p w14:paraId="3F729CC3" w14:textId="77777777" w:rsidR="00F764F5" w:rsidRDefault="003F777E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5.16. Naruszenia prawa.</w:t>
            </w:r>
          </w:p>
          <w:p w14:paraId="2AF4C43A" w14:textId="77777777" w:rsidR="00F764F5" w:rsidRDefault="00F764F5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18A151" w14:textId="77777777" w:rsidR="00F764F5" w:rsidRDefault="003F777E" w:rsidP="00F764F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6. Prawo regulujące działalność gospodarczą</w:t>
            </w:r>
          </w:p>
          <w:p w14:paraId="4AF15566" w14:textId="77777777" w:rsidR="00F764F5" w:rsidRPr="00D57E17" w:rsidRDefault="003F777E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6.1. Warunki prowadzenia działalności gospodarczej (m.in. zasada równości przedsiębiorców wobec prawa, zasada rozliczeń bezgotówkowych, koncesjonowanie niektórych rodzajów działalności gospodarczej lub wydawanie zezwoleń).</w:t>
            </w:r>
          </w:p>
          <w:p w14:paraId="27661401" w14:textId="77777777" w:rsidR="00F764F5" w:rsidRPr="00D57E17" w:rsidRDefault="003F777E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6.2. Powstawanie, funkcjonowanie, łączenie, przekształcanie, przejęcie i likwidacja</w:t>
            </w:r>
          </w:p>
          <w:p w14:paraId="121A3E10" w14:textId="77777777" w:rsidR="00F764F5" w:rsidRPr="00D57E17" w:rsidRDefault="00F764F5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przedsiębiorstw osób fizycznych, przedsiębiorstw państwowych, spółdzielni, banków i innych instytucji finansowych, zakładów ubezpieczeń.</w:t>
            </w:r>
          </w:p>
          <w:p w14:paraId="13CB9B2C" w14:textId="77777777" w:rsidR="00F764F5" w:rsidRPr="00D57E17" w:rsidRDefault="003F777E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6.3. Ochrona środowiska w działalności gospodarczej.</w:t>
            </w:r>
          </w:p>
          <w:p w14:paraId="050C92AC" w14:textId="77777777" w:rsidR="00F764F5" w:rsidRPr="00D57E17" w:rsidRDefault="003F777E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6.4. Podstawy prawne działalności gospodarczej organizacji społecznych, fundacji i stowarzyszeń oraz przedstawicielstw osób zagranicznych.</w:t>
            </w:r>
          </w:p>
          <w:p w14:paraId="4E637FFD" w14:textId="77777777" w:rsidR="00F764F5" w:rsidRPr="00D57E17" w:rsidRDefault="003F777E" w:rsidP="00F764F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6.5. Prawo dewizowe.</w:t>
            </w:r>
          </w:p>
          <w:p w14:paraId="5A31ECE4" w14:textId="77777777" w:rsidR="00E23546" w:rsidRPr="008327FE" w:rsidRDefault="003F777E" w:rsidP="00F764F5"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F764F5" w:rsidRPr="00D57E17">
              <w:rPr>
                <w:rFonts w:ascii="Times New Roman" w:hAnsi="Times New Roman" w:cs="Times New Roman"/>
                <w:sz w:val="18"/>
                <w:szCs w:val="18"/>
              </w:rPr>
              <w:t>6.6. Naruszenia prawa.</w:t>
            </w:r>
          </w:p>
        </w:tc>
        <w:tc>
          <w:tcPr>
            <w:tcW w:w="3594" w:type="dxa"/>
          </w:tcPr>
          <w:p w14:paraId="4859DAD1" w14:textId="77777777" w:rsidR="00E23546" w:rsidRPr="008327FE" w:rsidRDefault="00E23546" w:rsidP="005929A5"/>
        </w:tc>
        <w:tc>
          <w:tcPr>
            <w:tcW w:w="3828" w:type="dxa"/>
          </w:tcPr>
          <w:p w14:paraId="3A2C64A9" w14:textId="77777777" w:rsidR="00E23546" w:rsidRPr="008327FE" w:rsidRDefault="00E23546" w:rsidP="005929A5"/>
        </w:tc>
        <w:tc>
          <w:tcPr>
            <w:tcW w:w="3685" w:type="dxa"/>
          </w:tcPr>
          <w:p w14:paraId="541E6DFA" w14:textId="77777777" w:rsidR="00E23546" w:rsidRPr="008327FE" w:rsidRDefault="00E23546" w:rsidP="005929A5"/>
        </w:tc>
      </w:tr>
    </w:tbl>
    <w:p w14:paraId="4A450315" w14:textId="77777777" w:rsidR="00E23546" w:rsidRDefault="00E23546" w:rsidP="00806D9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  <w:sectPr w:rsidR="00E23546" w:rsidSect="00B74DD2">
          <w:footerReference w:type="default" r:id="rId7"/>
          <w:footnotePr>
            <w:numRestart w:val="eachPage"/>
          </w:footnotePr>
          <w:pgSz w:w="16838" w:h="11906" w:orient="landscape"/>
          <w:pgMar w:top="851" w:right="568" w:bottom="1417" w:left="993" w:header="708" w:footer="708" w:gutter="0"/>
          <w:cols w:space="708"/>
          <w:docGrid w:linePitch="360"/>
        </w:sectPr>
      </w:pPr>
    </w:p>
    <w:p w14:paraId="54941DA9" w14:textId="77777777" w:rsidR="00E5717C" w:rsidRDefault="00E5717C" w:rsidP="00806D9C"/>
    <w:sectPr w:rsidR="00E57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1C4B2D" w14:textId="77777777" w:rsidR="00903778" w:rsidRDefault="00903778" w:rsidP="00E23546">
      <w:pPr>
        <w:spacing w:after="0" w:line="240" w:lineRule="auto"/>
      </w:pPr>
      <w:r>
        <w:separator/>
      </w:r>
    </w:p>
  </w:endnote>
  <w:endnote w:type="continuationSeparator" w:id="0">
    <w:p w14:paraId="189C6D0B" w14:textId="77777777" w:rsidR="00903778" w:rsidRDefault="00903778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8400426"/>
      <w:docPartObj>
        <w:docPartGallery w:val="Page Numbers (Bottom of Page)"/>
        <w:docPartUnique/>
      </w:docPartObj>
    </w:sdtPr>
    <w:sdtContent>
      <w:p w14:paraId="4AE14A95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64AF">
          <w:rPr>
            <w:noProof/>
          </w:rPr>
          <w:t>2</w:t>
        </w:r>
        <w:r>
          <w:fldChar w:fldCharType="end"/>
        </w:r>
      </w:p>
    </w:sdtContent>
  </w:sdt>
  <w:p w14:paraId="3FF721F3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95305" w14:textId="77777777" w:rsidR="00903778" w:rsidRDefault="00903778" w:rsidP="00E23546">
      <w:pPr>
        <w:spacing w:after="0" w:line="240" w:lineRule="auto"/>
      </w:pPr>
      <w:r>
        <w:separator/>
      </w:r>
    </w:p>
  </w:footnote>
  <w:footnote w:type="continuationSeparator" w:id="0">
    <w:p w14:paraId="737F2128" w14:textId="77777777" w:rsidR="00903778" w:rsidRDefault="00903778" w:rsidP="00E23546">
      <w:pPr>
        <w:spacing w:after="0" w:line="240" w:lineRule="auto"/>
      </w:pPr>
      <w:r>
        <w:continuationSeparator/>
      </w:r>
    </w:p>
  </w:footnote>
  <w:footnote w:id="1">
    <w:p w14:paraId="581A8C2F" w14:textId="77777777" w:rsidR="00E23546" w:rsidRPr="00B9092E" w:rsidRDefault="00E23546" w:rsidP="00E23546">
      <w:pPr>
        <w:pStyle w:val="Tekstprzypisudolnego"/>
        <w:rPr>
          <w:sz w:val="18"/>
          <w:szCs w:val="18"/>
        </w:rPr>
      </w:pPr>
      <w:r w:rsidRPr="00B9092E">
        <w:rPr>
          <w:rStyle w:val="Odwoanieprzypisudolnego"/>
          <w:sz w:val="18"/>
          <w:szCs w:val="18"/>
        </w:rPr>
        <w:footnoteRef/>
      </w:r>
      <w:r w:rsidRPr="00B9092E">
        <w:rPr>
          <w:sz w:val="18"/>
          <w:szCs w:val="18"/>
        </w:rPr>
        <w:t xml:space="preserve"> Wpisuje się treści wynikające z sylabusa/karty, które odpowiadają zakresowi wiedzy wymaganemu przez Komisję Egzaminacyjną.</w:t>
      </w:r>
    </w:p>
    <w:p w14:paraId="0D80CF27" w14:textId="77777777" w:rsidR="00E23546" w:rsidRPr="00B9092E" w:rsidRDefault="00E23546" w:rsidP="00E23546">
      <w:pPr>
        <w:pStyle w:val="Tekstprzypisudolnego"/>
        <w:rPr>
          <w:sz w:val="18"/>
          <w:szCs w:val="18"/>
        </w:rPr>
      </w:pPr>
    </w:p>
  </w:footnote>
  <w:footnote w:id="2">
    <w:p w14:paraId="2197CA1C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9092E">
        <w:rPr>
          <w:sz w:val="18"/>
          <w:szCs w:val="18"/>
        </w:rPr>
        <w:t>W przypadku wskazania większej (niż 3</w:t>
      </w:r>
      <w:proofErr w:type="gramStart"/>
      <w:r w:rsidRPr="00B9092E">
        <w:rPr>
          <w:sz w:val="18"/>
          <w:szCs w:val="18"/>
        </w:rPr>
        <w:t>)  liczby</w:t>
      </w:r>
      <w:proofErr w:type="gramEnd"/>
      <w:r w:rsidRPr="00B9092E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6766969">
    <w:abstractNumId w:val="4"/>
  </w:num>
  <w:num w:numId="2" w16cid:durableId="1364667635">
    <w:abstractNumId w:val="2"/>
  </w:num>
  <w:num w:numId="3" w16cid:durableId="1920359750">
    <w:abstractNumId w:val="0"/>
  </w:num>
  <w:num w:numId="4" w16cid:durableId="153107403">
    <w:abstractNumId w:val="3"/>
  </w:num>
  <w:num w:numId="5" w16cid:durableId="15556972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009301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546"/>
    <w:rsid w:val="00166236"/>
    <w:rsid w:val="00202FD2"/>
    <w:rsid w:val="002A1963"/>
    <w:rsid w:val="00344BC9"/>
    <w:rsid w:val="00392FB0"/>
    <w:rsid w:val="003F777E"/>
    <w:rsid w:val="00473D76"/>
    <w:rsid w:val="004978B7"/>
    <w:rsid w:val="004F586A"/>
    <w:rsid w:val="005A4E24"/>
    <w:rsid w:val="006A26C5"/>
    <w:rsid w:val="006F30B8"/>
    <w:rsid w:val="00723577"/>
    <w:rsid w:val="00787633"/>
    <w:rsid w:val="00806D9C"/>
    <w:rsid w:val="00825F79"/>
    <w:rsid w:val="00827CEA"/>
    <w:rsid w:val="008E3791"/>
    <w:rsid w:val="008F62A5"/>
    <w:rsid w:val="00903778"/>
    <w:rsid w:val="00954FB4"/>
    <w:rsid w:val="00965919"/>
    <w:rsid w:val="009A5ED9"/>
    <w:rsid w:val="009B3A0E"/>
    <w:rsid w:val="00A230CA"/>
    <w:rsid w:val="00A644C0"/>
    <w:rsid w:val="00AD724A"/>
    <w:rsid w:val="00BE64AF"/>
    <w:rsid w:val="00CA0F22"/>
    <w:rsid w:val="00D071D4"/>
    <w:rsid w:val="00D53977"/>
    <w:rsid w:val="00DC74DE"/>
    <w:rsid w:val="00E23546"/>
    <w:rsid w:val="00E5717C"/>
    <w:rsid w:val="00E67C50"/>
    <w:rsid w:val="00EC145D"/>
    <w:rsid w:val="00F03FBC"/>
    <w:rsid w:val="00F26BF6"/>
    <w:rsid w:val="00F66869"/>
    <w:rsid w:val="00F71660"/>
    <w:rsid w:val="00F7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AFCBD8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06D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6D9C"/>
  </w:style>
  <w:style w:type="paragraph" w:styleId="Tekstdymka">
    <w:name w:val="Balloon Text"/>
    <w:basedOn w:val="Normalny"/>
    <w:link w:val="TekstdymkaZnak"/>
    <w:uiPriority w:val="99"/>
    <w:semiHidden/>
    <w:unhideWhenUsed/>
    <w:rsid w:val="00825F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5F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690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Agnieszka Dąbrowska</cp:lastModifiedBy>
  <cp:revision>3</cp:revision>
  <cp:lastPrinted>2022-10-17T06:41:00Z</cp:lastPrinted>
  <dcterms:created xsi:type="dcterms:W3CDTF">2026-03-11T14:01:00Z</dcterms:created>
  <dcterms:modified xsi:type="dcterms:W3CDTF">2026-03-12T07:20:00Z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InformacjePrzeznaczoneWylacznieDoUzytkuWewnetrznego</vt:lpwstr>
  </property>
  <property fmtid="{D5CDD505-2E9C-101B-9397-08002B2CF9AE}" pid="3" name="MFClassifiedBy">
    <vt:lpwstr>MF\GMUY;Góźdź Sylwia</vt:lpwstr>
  </property>
  <property fmtid="{D5CDD505-2E9C-101B-9397-08002B2CF9AE}" pid="4" name="MFClassificationDate">
    <vt:lpwstr>2022-10-16T20:45:51.7355881+02:00</vt:lpwstr>
  </property>
  <property fmtid="{D5CDD505-2E9C-101B-9397-08002B2CF9AE}" pid="5" name="MFClassifiedBySID">
    <vt:lpwstr>MF\S-1-5-21-1525952054-1005573771-2909822258-290790</vt:lpwstr>
  </property>
  <property fmtid="{D5CDD505-2E9C-101B-9397-08002B2CF9AE}" pid="6" name="MFGRNItemId">
    <vt:lpwstr>GRN-19aaa0c1-23de-46c2-a7f4-ee846c75f534</vt:lpwstr>
  </property>
  <property fmtid="{D5CDD505-2E9C-101B-9397-08002B2CF9AE}" pid="7" name="MFHash">
    <vt:lpwstr>8D9XTNn/EvyH66e4TgOSiZVjexSdoLYjp1h9/7zWxzM=</vt:lpwstr>
  </property>
  <property fmtid="{D5CDD505-2E9C-101B-9397-08002B2CF9AE}" pid="8" name="DLPManualFileClassification">
    <vt:lpwstr>{5fdfc941-3fcf-4a5b-87be-4848800d39d0}</vt:lpwstr>
  </property>
  <property fmtid="{D5CDD505-2E9C-101B-9397-08002B2CF9AE}" pid="9" name="MFRefresh">
    <vt:lpwstr>False</vt:lpwstr>
  </property>
</Properties>
</file>